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64" w:rsidRPr="00BD50F0" w:rsidRDefault="00D03E64" w:rsidP="00D03E64">
      <w:pPr>
        <w:pBdr>
          <w:top w:val="single" w:sz="8" w:space="8" w:color="auto" w:shadow="1"/>
          <w:left w:val="single" w:sz="8" w:space="4" w:color="auto" w:shadow="1"/>
          <w:bottom w:val="single" w:sz="8" w:space="8" w:color="auto" w:shadow="1"/>
          <w:right w:val="single" w:sz="8" w:space="4" w:color="auto" w:shadow="1"/>
        </w:pBdr>
        <w:spacing w:after="240" w:line="260" w:lineRule="atLeast"/>
        <w:jc w:val="center"/>
        <w:rPr>
          <w:rFonts w:ascii="Century Gothic" w:eastAsia="Times New Roman" w:hAnsi="Century Gothic"/>
          <w:sz w:val="32"/>
          <w:szCs w:val="32"/>
        </w:rPr>
      </w:pPr>
      <w:r w:rsidRPr="00BD50F0">
        <w:rPr>
          <w:rFonts w:ascii="Century Gothic" w:eastAsia="Times New Roman" w:hAnsi="Century Gothic"/>
          <w:spacing w:val="6"/>
          <w:sz w:val="32"/>
          <w:szCs w:val="32"/>
        </w:rPr>
        <w:t>Student Work Set Cover Sheet</w:t>
      </w:r>
    </w:p>
    <w:p w:rsidR="00D03E64" w:rsidRPr="00737037" w:rsidRDefault="00D03E64" w:rsidP="00D03E64">
      <w:pPr>
        <w:spacing w:after="0"/>
        <w:rPr>
          <w:rFonts w:eastAsia="Times New Roman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8"/>
      </w:tblGrid>
      <w:tr w:rsidR="00D03E64" w:rsidRPr="00737037" w:rsidTr="00B43F0E">
        <w:tc>
          <w:tcPr>
            <w:tcW w:w="10368" w:type="dxa"/>
            <w:shd w:val="clear" w:color="auto" w:fill="auto"/>
          </w:tcPr>
          <w:p w:rsidR="00D03E64" w:rsidRPr="00737037" w:rsidRDefault="00D03E64" w:rsidP="00B43F0E">
            <w:pPr>
              <w:spacing w:after="0"/>
              <w:rPr>
                <w:rFonts w:eastAsia="Times New Roman"/>
              </w:rPr>
            </w:pPr>
            <w:r w:rsidRPr="00737037">
              <w:rPr>
                <w:rFonts w:eastAsia="Times New Roman"/>
              </w:rPr>
              <w:t>Teacher / Course / Grade / Level</w:t>
            </w:r>
          </w:p>
          <w:p w:rsidR="00D03E64" w:rsidRPr="00737037" w:rsidRDefault="00D03E64" w:rsidP="00B43F0E">
            <w:pPr>
              <w:spacing w:after="0"/>
              <w:rPr>
                <w:rFonts w:eastAsia="Times New Roman"/>
              </w:rPr>
            </w:pPr>
          </w:p>
          <w:p w:rsidR="00D03E64" w:rsidRPr="00737037" w:rsidRDefault="00D03E64" w:rsidP="00B43F0E">
            <w:pPr>
              <w:spacing w:after="0"/>
              <w:rPr>
                <w:rFonts w:eastAsia="Times New Roman"/>
              </w:rPr>
            </w:pPr>
          </w:p>
        </w:tc>
      </w:tr>
      <w:tr w:rsidR="00D03E64" w:rsidRPr="00737037" w:rsidTr="00B43F0E">
        <w:tc>
          <w:tcPr>
            <w:tcW w:w="10368" w:type="dxa"/>
            <w:shd w:val="clear" w:color="auto" w:fill="auto"/>
          </w:tcPr>
          <w:p w:rsidR="00D03E64" w:rsidRPr="00737037" w:rsidRDefault="00D03E64" w:rsidP="00B43F0E">
            <w:pPr>
              <w:spacing w:after="0"/>
              <w:rPr>
                <w:rFonts w:eastAsia="Times New Roman"/>
              </w:rPr>
            </w:pPr>
            <w:r w:rsidRPr="00737037">
              <w:rPr>
                <w:rFonts w:eastAsia="Times New Roman"/>
              </w:rPr>
              <w:t>Type of Assignment (e.g. homework, group work, essay, test, project, etc.)</w:t>
            </w:r>
          </w:p>
          <w:p w:rsidR="00D03E64" w:rsidRPr="00737037" w:rsidRDefault="00D03E64" w:rsidP="00B43F0E">
            <w:pPr>
              <w:spacing w:after="0"/>
              <w:rPr>
                <w:rFonts w:eastAsia="Times New Roman"/>
              </w:rPr>
            </w:pPr>
          </w:p>
          <w:p w:rsidR="00D03E64" w:rsidRPr="00737037" w:rsidRDefault="00D03E64" w:rsidP="00B43F0E">
            <w:pPr>
              <w:spacing w:after="0"/>
              <w:rPr>
                <w:rFonts w:eastAsia="Times New Roman"/>
              </w:rPr>
            </w:pPr>
          </w:p>
        </w:tc>
      </w:tr>
      <w:tr w:rsidR="00D03E64" w:rsidRPr="00737037" w:rsidTr="00B43F0E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4" w:rsidRPr="00737037" w:rsidRDefault="00D03E64" w:rsidP="00B43F0E">
            <w:pPr>
              <w:spacing w:after="0"/>
              <w:rPr>
                <w:rFonts w:eastAsia="Times New Roman"/>
              </w:rPr>
            </w:pPr>
            <w:r w:rsidRPr="00737037">
              <w:rPr>
                <w:rFonts w:eastAsia="Times New Roman"/>
              </w:rPr>
              <w:t>Skills and Knowledge (e.g. learning expectation, essential question, curriculum standards, etc.)</w:t>
            </w:r>
          </w:p>
          <w:p w:rsidR="00D03E64" w:rsidRPr="00737037" w:rsidRDefault="00D03E64" w:rsidP="00B43F0E">
            <w:pPr>
              <w:spacing w:after="0"/>
              <w:rPr>
                <w:rFonts w:eastAsia="Times New Roman"/>
              </w:rPr>
            </w:pPr>
          </w:p>
          <w:p w:rsidR="00D03E64" w:rsidRPr="00737037" w:rsidRDefault="00D03E64" w:rsidP="00B43F0E">
            <w:pPr>
              <w:spacing w:after="0"/>
              <w:rPr>
                <w:rFonts w:eastAsia="Times New Roman"/>
              </w:rPr>
            </w:pPr>
          </w:p>
        </w:tc>
      </w:tr>
      <w:tr w:rsidR="00D03E64" w:rsidRPr="00737037" w:rsidTr="00B43F0E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64" w:rsidRPr="00737037" w:rsidRDefault="00D03E64" w:rsidP="00B43F0E">
            <w:pPr>
              <w:spacing w:after="0"/>
              <w:rPr>
                <w:rFonts w:eastAsia="Times New Roman"/>
              </w:rPr>
            </w:pPr>
            <w:r w:rsidRPr="00737037">
              <w:rPr>
                <w:rFonts w:eastAsia="Times New Roman"/>
              </w:rPr>
              <w:t>Describe the activity or assessment and context (or attach unit or lesson plan/overview)</w:t>
            </w:r>
          </w:p>
          <w:p w:rsidR="00D03E64" w:rsidRPr="00737037" w:rsidRDefault="00D03E64" w:rsidP="00B43F0E">
            <w:pPr>
              <w:spacing w:after="0"/>
              <w:rPr>
                <w:rFonts w:eastAsia="Times New Roman"/>
              </w:rPr>
            </w:pPr>
          </w:p>
          <w:p w:rsidR="00D03E64" w:rsidRPr="00737037" w:rsidRDefault="00D03E64" w:rsidP="00B43F0E">
            <w:pPr>
              <w:spacing w:after="0"/>
              <w:rPr>
                <w:rFonts w:eastAsia="Times New Roman"/>
              </w:rPr>
            </w:pPr>
          </w:p>
        </w:tc>
      </w:tr>
    </w:tbl>
    <w:p w:rsidR="00D03E64" w:rsidRPr="00737037" w:rsidRDefault="00D03E64" w:rsidP="00D03E64">
      <w:pPr>
        <w:spacing w:after="0"/>
        <w:rPr>
          <w:rFonts w:eastAsia="Times New Roman"/>
        </w:rPr>
      </w:pPr>
    </w:p>
    <w:p w:rsidR="00D03E64" w:rsidRPr="00737037" w:rsidRDefault="00D03E64" w:rsidP="00D03E64">
      <w:pPr>
        <w:spacing w:after="0"/>
        <w:rPr>
          <w:rFonts w:eastAsia="Times New Roman"/>
        </w:rPr>
      </w:pPr>
      <w:r w:rsidRPr="00737037">
        <w:rPr>
          <w:rFonts w:eastAsia="Times New Roman"/>
        </w:rPr>
        <w:t>Attach:</w:t>
      </w:r>
    </w:p>
    <w:p w:rsidR="00D03E64" w:rsidRPr="00737037" w:rsidRDefault="00D03E64" w:rsidP="00D03E64">
      <w:pPr>
        <w:numPr>
          <w:ilvl w:val="0"/>
          <w:numId w:val="1"/>
        </w:numPr>
        <w:spacing w:after="0"/>
        <w:rPr>
          <w:rFonts w:eastAsia="Times New Roman"/>
        </w:rPr>
      </w:pPr>
      <w:r w:rsidRPr="00737037">
        <w:rPr>
          <w:rFonts w:eastAsia="Times New Roman"/>
        </w:rPr>
        <w:t>Handout(s) given to students</w:t>
      </w:r>
    </w:p>
    <w:p w:rsidR="00D03E64" w:rsidRPr="00737037" w:rsidRDefault="00D03E64" w:rsidP="00D03E64">
      <w:pPr>
        <w:numPr>
          <w:ilvl w:val="0"/>
          <w:numId w:val="1"/>
        </w:numPr>
        <w:spacing w:after="0"/>
        <w:rPr>
          <w:rFonts w:eastAsia="Times New Roman"/>
        </w:rPr>
      </w:pPr>
      <w:r w:rsidRPr="00737037">
        <w:rPr>
          <w:rFonts w:eastAsia="Times New Roman"/>
        </w:rPr>
        <w:t>Assessment criteria, such as a rubric</w:t>
      </w:r>
    </w:p>
    <w:p w:rsidR="00D03E64" w:rsidRPr="00737037" w:rsidRDefault="00D03E64" w:rsidP="00D03E64">
      <w:pPr>
        <w:numPr>
          <w:ilvl w:val="0"/>
          <w:numId w:val="1"/>
        </w:numPr>
        <w:spacing w:after="0"/>
        <w:rPr>
          <w:rFonts w:eastAsia="Times New Roman"/>
        </w:rPr>
      </w:pPr>
      <w:r w:rsidRPr="00737037">
        <w:rPr>
          <w:rFonts w:eastAsia="Times New Roman"/>
        </w:rPr>
        <w:t xml:space="preserve">Three examples of student work </w:t>
      </w:r>
    </w:p>
    <w:p w:rsidR="00D03E64" w:rsidRPr="00737037" w:rsidRDefault="00D03E64" w:rsidP="00D03E64">
      <w:pPr>
        <w:numPr>
          <w:ilvl w:val="1"/>
          <w:numId w:val="1"/>
        </w:numPr>
        <w:spacing w:after="0"/>
        <w:rPr>
          <w:rFonts w:eastAsia="Times New Roman"/>
        </w:rPr>
      </w:pPr>
      <w:r w:rsidRPr="00737037">
        <w:rPr>
          <w:rFonts w:eastAsia="Times New Roman"/>
        </w:rPr>
        <w:t>including work that is developing, meeting, and exceeding expectations</w:t>
      </w:r>
    </w:p>
    <w:p w:rsidR="00D03E64" w:rsidRPr="00737037" w:rsidRDefault="00D03E64" w:rsidP="00D03E64">
      <w:pPr>
        <w:numPr>
          <w:ilvl w:val="1"/>
          <w:numId w:val="1"/>
        </w:numPr>
        <w:spacing w:after="0"/>
        <w:rPr>
          <w:rFonts w:eastAsia="Times New Roman"/>
        </w:rPr>
      </w:pPr>
      <w:r w:rsidRPr="00737037">
        <w:rPr>
          <w:rFonts w:eastAsia="Times New Roman"/>
        </w:rPr>
        <w:t>scoring and feedback to students</w:t>
      </w:r>
    </w:p>
    <w:p w:rsidR="00D03E64" w:rsidRPr="00737037" w:rsidRDefault="00D03E64" w:rsidP="00D03E64">
      <w:pPr>
        <w:spacing w:after="0"/>
        <w:rPr>
          <w:rFonts w:eastAsia="Times New Roman"/>
        </w:rPr>
      </w:pPr>
    </w:p>
    <w:tbl>
      <w:tblPr>
        <w:tblW w:w="103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5"/>
        <w:gridCol w:w="5175"/>
      </w:tblGrid>
      <w:tr w:rsidR="00D03E64" w:rsidRPr="00737037" w:rsidTr="00B43F0E">
        <w:trPr>
          <w:trHeight w:val="1763"/>
        </w:trPr>
        <w:tc>
          <w:tcPr>
            <w:tcW w:w="5175" w:type="dxa"/>
            <w:shd w:val="clear" w:color="auto" w:fill="auto"/>
          </w:tcPr>
          <w:p w:rsidR="00D03E64" w:rsidRPr="00737037" w:rsidRDefault="00D03E64" w:rsidP="00B43F0E">
            <w:pPr>
              <w:pBdr>
                <w:right w:val="single" w:sz="4" w:space="4" w:color="auto"/>
              </w:pBdr>
              <w:spacing w:after="0"/>
              <w:rPr>
                <w:rFonts w:eastAsia="Times New Roman"/>
              </w:rPr>
            </w:pPr>
            <w:r w:rsidRPr="00737037">
              <w:rPr>
                <w:rFonts w:eastAsia="Times New Roman"/>
              </w:rPr>
              <w:t>Identify</w:t>
            </w:r>
            <w:r>
              <w:rPr>
                <w:rFonts w:eastAsia="Times New Roman"/>
              </w:rPr>
              <w:t xml:space="preserve"> the Learning Look-</w:t>
            </w:r>
            <w:proofErr w:type="spellStart"/>
            <w:r>
              <w:rPr>
                <w:rFonts w:eastAsia="Times New Roman"/>
              </w:rPr>
              <w:t>fors</w:t>
            </w:r>
            <w:proofErr w:type="spellEnd"/>
            <w:r w:rsidRPr="00737037">
              <w:rPr>
                <w:rFonts w:eastAsia="Times New Roman"/>
              </w:rPr>
              <w:t>*</w:t>
            </w:r>
          </w:p>
          <w:p w:rsidR="00D03E64" w:rsidRPr="00737037" w:rsidRDefault="00D03E64" w:rsidP="00B43F0E">
            <w:pPr>
              <w:pBdr>
                <w:right w:val="single" w:sz="4" w:space="4" w:color="auto"/>
              </w:pBdr>
              <w:spacing w:after="0"/>
              <w:rPr>
                <w:rFonts w:eastAsia="Times New Roman"/>
              </w:rPr>
            </w:pPr>
          </w:p>
          <w:p w:rsidR="00D03E64" w:rsidRPr="00737037" w:rsidRDefault="00D03E64" w:rsidP="00B43F0E">
            <w:pPr>
              <w:pBdr>
                <w:right w:val="single" w:sz="4" w:space="4" w:color="auto"/>
              </w:pBdr>
              <w:spacing w:after="0"/>
              <w:rPr>
                <w:rFonts w:eastAsia="Times New Roman"/>
              </w:rPr>
            </w:pPr>
          </w:p>
          <w:p w:rsidR="00D03E64" w:rsidRPr="00737037" w:rsidRDefault="00D03E64" w:rsidP="00B43F0E">
            <w:pPr>
              <w:pBdr>
                <w:right w:val="single" w:sz="4" w:space="4" w:color="auto"/>
              </w:pBdr>
              <w:spacing w:after="0"/>
              <w:rPr>
                <w:rFonts w:eastAsia="Times New Roman"/>
              </w:rPr>
            </w:pPr>
          </w:p>
        </w:tc>
        <w:tc>
          <w:tcPr>
            <w:tcW w:w="5175" w:type="dxa"/>
            <w:shd w:val="clear" w:color="auto" w:fill="auto"/>
          </w:tcPr>
          <w:p w:rsidR="00D03E64" w:rsidRPr="00737037" w:rsidRDefault="00D03E64" w:rsidP="00B43F0E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Identify the Teaching Look-</w:t>
            </w:r>
            <w:proofErr w:type="spellStart"/>
            <w:r>
              <w:rPr>
                <w:rFonts w:eastAsia="Times New Roman"/>
              </w:rPr>
              <w:t>fors</w:t>
            </w:r>
            <w:proofErr w:type="spellEnd"/>
            <w:r w:rsidRPr="00737037">
              <w:rPr>
                <w:rFonts w:eastAsia="Times New Roman"/>
              </w:rPr>
              <w:t>*</w:t>
            </w:r>
          </w:p>
          <w:p w:rsidR="00D03E64" w:rsidRPr="00737037" w:rsidRDefault="00D03E64" w:rsidP="00B43F0E">
            <w:pPr>
              <w:spacing w:after="0"/>
              <w:rPr>
                <w:rFonts w:eastAsia="Times New Roman"/>
              </w:rPr>
            </w:pPr>
          </w:p>
          <w:p w:rsidR="00D03E64" w:rsidRPr="00737037" w:rsidRDefault="00D03E64" w:rsidP="00B43F0E">
            <w:pPr>
              <w:spacing w:after="0"/>
              <w:rPr>
                <w:rFonts w:eastAsia="Times New Roman"/>
              </w:rPr>
            </w:pPr>
          </w:p>
          <w:p w:rsidR="00D03E64" w:rsidRPr="00737037" w:rsidRDefault="00D03E64" w:rsidP="00B43F0E">
            <w:pPr>
              <w:spacing w:after="0"/>
              <w:rPr>
                <w:rFonts w:eastAsia="Times New Roman"/>
              </w:rPr>
            </w:pPr>
          </w:p>
        </w:tc>
      </w:tr>
    </w:tbl>
    <w:p w:rsidR="00D03E64" w:rsidRPr="00737037" w:rsidRDefault="00D03E64" w:rsidP="00D03E64">
      <w:pPr>
        <w:spacing w:after="0"/>
        <w:rPr>
          <w:rFonts w:eastAsia="Times New Roman"/>
          <w:b/>
        </w:rPr>
      </w:pPr>
      <w:r w:rsidRPr="00737037">
        <w:rPr>
          <w:rFonts w:eastAsia="Times New Roman"/>
        </w:rPr>
        <w:t>*Use the Look-</w:t>
      </w:r>
      <w:proofErr w:type="spellStart"/>
      <w:r w:rsidRPr="00737037">
        <w:rPr>
          <w:rFonts w:eastAsia="Times New Roman"/>
        </w:rPr>
        <w:t>fors</w:t>
      </w:r>
      <w:proofErr w:type="spellEnd"/>
      <w:r w:rsidRPr="00737037">
        <w:rPr>
          <w:rFonts w:eastAsia="Times New Roman"/>
        </w:rPr>
        <w:t xml:space="preserve"> list</w:t>
      </w:r>
    </w:p>
    <w:p w:rsidR="00D03E64" w:rsidRPr="00737037" w:rsidRDefault="00D03E64" w:rsidP="00D03E64">
      <w:pPr>
        <w:spacing w:after="0"/>
        <w:rPr>
          <w:rFonts w:eastAsia="Times New Roman"/>
          <w:b/>
        </w:rPr>
      </w:pPr>
    </w:p>
    <w:p w:rsidR="00D03E64" w:rsidRPr="00737037" w:rsidRDefault="00D03E64" w:rsidP="00D03E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7" w:color="auto"/>
        </w:pBdr>
        <w:spacing w:after="0"/>
        <w:rPr>
          <w:rFonts w:eastAsia="Times New Roman"/>
        </w:rPr>
      </w:pPr>
      <w:r w:rsidRPr="00737037">
        <w:rPr>
          <w:rFonts w:eastAsia="Times New Roman"/>
        </w:rPr>
        <w:t>Reflection</w:t>
      </w:r>
    </w:p>
    <w:p w:rsidR="00D03E64" w:rsidRPr="00737037" w:rsidRDefault="00D03E64" w:rsidP="00D03E6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7" w:color="auto"/>
        </w:pBdr>
        <w:spacing w:after="0"/>
        <w:contextualSpacing/>
        <w:rPr>
          <w:rFonts w:eastAsia="SimSun"/>
          <w:lang w:eastAsia="zh-CN"/>
        </w:rPr>
      </w:pPr>
      <w:r w:rsidRPr="00737037">
        <w:rPr>
          <w:rFonts w:eastAsia="SimSun"/>
          <w:lang w:eastAsia="zh-CN"/>
        </w:rPr>
        <w:t xml:space="preserve">To what extent does the student work set represent students’ proficiency? </w:t>
      </w:r>
    </w:p>
    <w:p w:rsidR="00D03E64" w:rsidRPr="00737037" w:rsidRDefault="00D03E64" w:rsidP="00D03E6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7" w:color="auto"/>
        </w:pBdr>
        <w:spacing w:after="0"/>
        <w:contextualSpacing/>
        <w:rPr>
          <w:rFonts w:eastAsia="SimSun"/>
          <w:lang w:eastAsia="zh-CN"/>
        </w:rPr>
      </w:pPr>
      <w:r w:rsidRPr="00737037">
        <w:rPr>
          <w:rFonts w:eastAsia="SimSun"/>
          <w:lang w:eastAsia="zh-CN"/>
        </w:rPr>
        <w:t xml:space="preserve">To what extent does the work set reflect elements of the Standards for Accreditation? </w:t>
      </w:r>
    </w:p>
    <w:p w:rsidR="00D03E64" w:rsidRPr="00737037" w:rsidRDefault="00D03E64" w:rsidP="00D03E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7" w:color="auto"/>
        </w:pBdr>
        <w:spacing w:after="0"/>
        <w:rPr>
          <w:rFonts w:eastAsia="Times New Roman"/>
        </w:rPr>
      </w:pPr>
    </w:p>
    <w:p w:rsidR="00D03E64" w:rsidRPr="00737037" w:rsidRDefault="00D03E64" w:rsidP="00D03E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7" w:color="auto"/>
        </w:pBdr>
        <w:spacing w:after="0"/>
        <w:rPr>
          <w:rFonts w:eastAsia="Times New Roman"/>
        </w:rPr>
      </w:pPr>
    </w:p>
    <w:p w:rsidR="00D03E64" w:rsidRPr="00737037" w:rsidRDefault="00D03E64" w:rsidP="00D03E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7" w:color="auto"/>
        </w:pBdr>
        <w:spacing w:after="0"/>
        <w:rPr>
          <w:rFonts w:eastAsia="Times New Roman"/>
        </w:rPr>
      </w:pPr>
    </w:p>
    <w:p w:rsidR="00D03E64" w:rsidRPr="00737037" w:rsidRDefault="00D03E64" w:rsidP="00D03E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7" w:color="auto"/>
        </w:pBdr>
        <w:spacing w:after="0"/>
        <w:rPr>
          <w:rFonts w:eastAsia="Times New Roman"/>
        </w:rPr>
      </w:pPr>
    </w:p>
    <w:p w:rsidR="00D03E64" w:rsidRPr="00737037" w:rsidRDefault="00D03E64" w:rsidP="00D03E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7" w:color="auto"/>
        </w:pBdr>
        <w:spacing w:after="0"/>
        <w:rPr>
          <w:rFonts w:eastAsia="Times New Roman"/>
        </w:rPr>
      </w:pPr>
    </w:p>
    <w:p w:rsidR="00D03E64" w:rsidRPr="00737037" w:rsidRDefault="00D03E64" w:rsidP="00D03E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7" w:color="auto"/>
        </w:pBdr>
        <w:spacing w:after="0"/>
        <w:rPr>
          <w:rFonts w:eastAsia="Times New Roman"/>
        </w:rPr>
      </w:pPr>
    </w:p>
    <w:p w:rsidR="00D03E64" w:rsidRPr="00737037" w:rsidRDefault="00D03E64" w:rsidP="00D03E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7" w:color="auto"/>
        </w:pBdr>
        <w:spacing w:after="0"/>
        <w:rPr>
          <w:rFonts w:eastAsia="Times New Roman"/>
        </w:rPr>
      </w:pPr>
    </w:p>
    <w:p w:rsidR="00D03E64" w:rsidRPr="00BD50F0" w:rsidRDefault="00D03E64" w:rsidP="00D03E64">
      <w:pPr>
        <w:spacing w:after="0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br w:type="page"/>
      </w:r>
    </w:p>
    <w:p w:rsidR="00D03E64" w:rsidRPr="00BC5EEB" w:rsidRDefault="00D03E64" w:rsidP="00D03E64">
      <w:pPr>
        <w:pBdr>
          <w:top w:val="single" w:sz="8" w:space="8" w:color="auto" w:shadow="1"/>
          <w:left w:val="single" w:sz="8" w:space="4" w:color="auto" w:shadow="1"/>
          <w:bottom w:val="single" w:sz="8" w:space="8" w:color="auto" w:shadow="1"/>
          <w:right w:val="single" w:sz="8" w:space="4" w:color="auto" w:shadow="1"/>
        </w:pBdr>
        <w:tabs>
          <w:tab w:val="left" w:pos="2595"/>
        </w:tabs>
        <w:spacing w:after="240" w:line="260" w:lineRule="atLeast"/>
        <w:jc w:val="center"/>
        <w:rPr>
          <w:rFonts w:ascii="Century Gothic" w:eastAsia="Times New Roman" w:hAnsi="Century Gothic"/>
          <w:sz w:val="32"/>
          <w:szCs w:val="32"/>
        </w:rPr>
      </w:pPr>
      <w:r w:rsidRPr="00BC5EEB">
        <w:rPr>
          <w:rFonts w:ascii="Century Gothic" w:eastAsia="Times New Roman" w:hAnsi="Century Gothic"/>
          <w:spacing w:val="6"/>
          <w:sz w:val="32"/>
          <w:szCs w:val="32"/>
        </w:rPr>
        <w:lastRenderedPageBreak/>
        <w:t>Look-</w:t>
      </w:r>
      <w:proofErr w:type="spellStart"/>
      <w:r w:rsidRPr="00BC5EEB">
        <w:rPr>
          <w:rFonts w:ascii="Century Gothic" w:eastAsia="Times New Roman" w:hAnsi="Century Gothic"/>
          <w:spacing w:val="6"/>
          <w:sz w:val="32"/>
          <w:szCs w:val="32"/>
        </w:rPr>
        <w:t>fors</w:t>
      </w:r>
      <w:proofErr w:type="spellEnd"/>
      <w:r w:rsidRPr="00BC5EEB">
        <w:rPr>
          <w:rFonts w:ascii="Century Gothic" w:eastAsia="Times New Roman" w:hAnsi="Century Gothic"/>
          <w:spacing w:val="6"/>
          <w:sz w:val="32"/>
          <w:szCs w:val="32"/>
        </w:rPr>
        <w:t xml:space="preserve"> in Classrooms and Student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2"/>
        <w:gridCol w:w="5028"/>
      </w:tblGrid>
      <w:tr w:rsidR="00D03E64" w:rsidRPr="00E40BA8" w:rsidTr="00B43F0E">
        <w:tc>
          <w:tcPr>
            <w:tcW w:w="10278" w:type="dxa"/>
            <w:gridSpan w:val="2"/>
            <w:vAlign w:val="center"/>
          </w:tcPr>
          <w:p w:rsidR="00D03E64" w:rsidRPr="003A05DC" w:rsidRDefault="00D03E64" w:rsidP="00B43F0E">
            <w:pPr>
              <w:spacing w:before="120" w:after="120" w:line="260" w:lineRule="exact"/>
              <w:jc w:val="center"/>
              <w:rPr>
                <w:b/>
              </w:rPr>
            </w:pPr>
            <w:r w:rsidRPr="003A05DC">
              <w:rPr>
                <w:b/>
              </w:rPr>
              <w:t>Learning</w:t>
            </w:r>
          </w:p>
        </w:tc>
      </w:tr>
      <w:tr w:rsidR="00D03E64" w:rsidTr="00B43F0E">
        <w:tc>
          <w:tcPr>
            <w:tcW w:w="5148" w:type="dxa"/>
          </w:tcPr>
          <w:p w:rsidR="00D03E64" w:rsidRPr="003A05DC" w:rsidRDefault="00D03E64" w:rsidP="00B43F0E">
            <w:pPr>
              <w:spacing w:before="120" w:after="120" w:line="240" w:lineRule="exact"/>
            </w:pPr>
            <w:r w:rsidRPr="003A05DC">
              <w:t>skills and competencies necessary to attain the school’s vision of the graduate</w:t>
            </w:r>
          </w:p>
          <w:p w:rsidR="00D03E64" w:rsidRPr="003A05DC" w:rsidRDefault="00D03E64" w:rsidP="00B43F0E">
            <w:pPr>
              <w:spacing w:before="120" w:after="120" w:line="240" w:lineRule="exact"/>
            </w:pPr>
            <w:r w:rsidRPr="003A05DC">
              <w:t>knowledge, understandings, transferable skills, and dispositions necessary for future success</w:t>
            </w:r>
          </w:p>
          <w:p w:rsidR="00D03E64" w:rsidRPr="003A05DC" w:rsidRDefault="00D03E64" w:rsidP="00B43F0E">
            <w:pPr>
              <w:spacing w:before="120" w:after="120" w:line="240" w:lineRule="exact"/>
            </w:pPr>
            <w:r w:rsidRPr="003A05DC">
              <w:t>dispositions, such as independence, flexible thinking, and persistence</w:t>
            </w:r>
          </w:p>
          <w:p w:rsidR="00D03E64" w:rsidRPr="003A05DC" w:rsidRDefault="00D03E64" w:rsidP="00B43F0E">
            <w:pPr>
              <w:spacing w:before="120" w:after="120" w:line="240" w:lineRule="exact"/>
            </w:pPr>
            <w:r w:rsidRPr="003A05DC">
              <w:t>disciplinary and interdisciplinary knowledge</w:t>
            </w:r>
          </w:p>
          <w:p w:rsidR="00D03E64" w:rsidRPr="003A05DC" w:rsidRDefault="00D03E64" w:rsidP="00B43F0E">
            <w:pPr>
              <w:spacing w:before="120" w:after="120" w:line="240" w:lineRule="exact"/>
            </w:pPr>
            <w:r w:rsidRPr="003A05DC">
              <w:t>deep understanding</w:t>
            </w:r>
          </w:p>
          <w:p w:rsidR="00D03E64" w:rsidRPr="003A05DC" w:rsidRDefault="00D03E64" w:rsidP="00B43F0E">
            <w:pPr>
              <w:spacing w:before="120" w:after="120" w:line="240" w:lineRule="exact"/>
            </w:pPr>
            <w:r>
              <w:t xml:space="preserve">higher </w:t>
            </w:r>
            <w:r w:rsidRPr="003A05DC">
              <w:t>order thinking</w:t>
            </w:r>
          </w:p>
          <w:p w:rsidR="00D03E64" w:rsidRPr="003A05DC" w:rsidRDefault="00D03E64" w:rsidP="00B43F0E">
            <w:pPr>
              <w:spacing w:before="120" w:after="120" w:line="240" w:lineRule="exact"/>
            </w:pPr>
            <w:r w:rsidRPr="003A05DC">
              <w:t>inquiry</w:t>
            </w:r>
          </w:p>
          <w:p w:rsidR="00D03E64" w:rsidRPr="003A05DC" w:rsidRDefault="00D03E64" w:rsidP="00B43F0E">
            <w:pPr>
              <w:spacing w:before="120" w:after="120" w:line="240" w:lineRule="exact"/>
            </w:pPr>
            <w:r w:rsidRPr="003A05DC">
              <w:t>application of knowledge and skills to authentic tasks</w:t>
            </w:r>
          </w:p>
        </w:tc>
        <w:tc>
          <w:tcPr>
            <w:tcW w:w="5130" w:type="dxa"/>
          </w:tcPr>
          <w:p w:rsidR="00D03E64" w:rsidRPr="003A05DC" w:rsidRDefault="00D03E64" w:rsidP="00B43F0E">
            <w:pPr>
              <w:spacing w:before="120" w:after="120" w:line="240" w:lineRule="exact"/>
            </w:pPr>
            <w:r w:rsidRPr="003A05DC">
              <w:t>questioning, analysis, and understanding impacts</w:t>
            </w:r>
          </w:p>
          <w:p w:rsidR="00D03E64" w:rsidRPr="003A05DC" w:rsidRDefault="00D03E64" w:rsidP="00B43F0E">
            <w:pPr>
              <w:spacing w:before="120" w:after="120" w:line="240" w:lineRule="exact"/>
            </w:pPr>
            <w:r w:rsidRPr="003A05DC">
              <w:t xml:space="preserve">analysis, synthesis, creativity, making connections, and understanding relationships </w:t>
            </w:r>
          </w:p>
          <w:p w:rsidR="00D03E64" w:rsidRPr="003A05DC" w:rsidRDefault="00D03E64" w:rsidP="00B43F0E">
            <w:pPr>
              <w:spacing w:before="120" w:after="120" w:line="240" w:lineRule="exact"/>
            </w:pPr>
            <w:r w:rsidRPr="003A05DC">
              <w:t>critical and creative thinking</w:t>
            </w:r>
          </w:p>
          <w:p w:rsidR="00D03E64" w:rsidRPr="003A05DC" w:rsidRDefault="00D03E64" w:rsidP="00B43F0E">
            <w:pPr>
              <w:spacing w:before="120" w:after="120" w:line="240" w:lineRule="exact"/>
            </w:pPr>
            <w:r w:rsidRPr="003A05DC">
              <w:t>using technology in informed, effective, and ethical ways</w:t>
            </w:r>
          </w:p>
          <w:p w:rsidR="00D03E64" w:rsidRPr="003A05DC" w:rsidRDefault="00D03E64" w:rsidP="00B43F0E">
            <w:pPr>
              <w:spacing w:before="120" w:after="120" w:line="240" w:lineRule="exact"/>
            </w:pPr>
            <w:r w:rsidRPr="003A05DC">
              <w:t>communicate clearly and creatively</w:t>
            </w:r>
          </w:p>
          <w:p w:rsidR="00D03E64" w:rsidRPr="003A05DC" w:rsidRDefault="00D03E64" w:rsidP="00B43F0E">
            <w:pPr>
              <w:spacing w:before="120" w:after="120" w:line="240" w:lineRule="exact"/>
            </w:pPr>
            <w:r w:rsidRPr="003A05DC">
              <w:t>construct knowledge</w:t>
            </w:r>
          </w:p>
          <w:p w:rsidR="00D03E64" w:rsidRPr="003A05DC" w:rsidRDefault="00D03E64" w:rsidP="00B43F0E">
            <w:pPr>
              <w:spacing w:before="120" w:after="120" w:line="240" w:lineRule="exact"/>
            </w:pPr>
            <w:r w:rsidRPr="003A05DC">
              <w:t>create</w:t>
            </w:r>
          </w:p>
          <w:p w:rsidR="00D03E64" w:rsidRPr="003A05DC" w:rsidRDefault="00D03E64" w:rsidP="00B43F0E">
            <w:pPr>
              <w:spacing w:before="120" w:after="120" w:line="240" w:lineRule="exact"/>
            </w:pPr>
            <w:r w:rsidRPr="003A05DC">
              <w:t>problem-solve</w:t>
            </w:r>
          </w:p>
          <w:p w:rsidR="00D03E64" w:rsidRPr="003A05DC" w:rsidRDefault="00D03E64" w:rsidP="00B43F0E">
            <w:pPr>
              <w:spacing w:before="120" w:after="120" w:line="240" w:lineRule="exact"/>
            </w:pPr>
            <w:r w:rsidRPr="003A05DC">
              <w:t>share work with an audience</w:t>
            </w:r>
          </w:p>
          <w:p w:rsidR="00D03E64" w:rsidRPr="003A05DC" w:rsidRDefault="00D03E64" w:rsidP="00B43F0E">
            <w:pPr>
              <w:spacing w:before="120" w:after="120" w:line="240" w:lineRule="exact"/>
            </w:pPr>
            <w:r w:rsidRPr="003A05DC">
              <w:t>collaboration</w:t>
            </w:r>
          </w:p>
        </w:tc>
      </w:tr>
      <w:tr w:rsidR="00D03E64" w:rsidRPr="00E40BA8" w:rsidTr="00B43F0E">
        <w:tc>
          <w:tcPr>
            <w:tcW w:w="10278" w:type="dxa"/>
            <w:gridSpan w:val="2"/>
          </w:tcPr>
          <w:p w:rsidR="00D03E64" w:rsidRPr="003A05DC" w:rsidRDefault="00D03E64" w:rsidP="00B43F0E">
            <w:pPr>
              <w:spacing w:before="120" w:after="120" w:line="260" w:lineRule="exact"/>
              <w:jc w:val="center"/>
              <w:rPr>
                <w:b/>
              </w:rPr>
            </w:pPr>
            <w:r w:rsidRPr="003A05DC">
              <w:rPr>
                <w:b/>
              </w:rPr>
              <w:t>Teaching</w:t>
            </w:r>
          </w:p>
        </w:tc>
      </w:tr>
      <w:tr w:rsidR="00D03E64" w:rsidRPr="00E40BA8" w:rsidTr="00B43F0E">
        <w:trPr>
          <w:trHeight w:val="70"/>
        </w:trPr>
        <w:tc>
          <w:tcPr>
            <w:tcW w:w="5148" w:type="dxa"/>
          </w:tcPr>
          <w:p w:rsidR="00D03E64" w:rsidRPr="003A05DC" w:rsidRDefault="00D03E64" w:rsidP="00B43F0E">
            <w:pPr>
              <w:spacing w:before="80" w:after="80" w:line="240" w:lineRule="exact"/>
            </w:pPr>
            <w:r w:rsidRPr="003A05DC">
              <w:t>interdisciplinary learning, project-based learning, and authentic learning experiences</w:t>
            </w:r>
          </w:p>
          <w:p w:rsidR="00D03E64" w:rsidRPr="003A05DC" w:rsidRDefault="00D03E64" w:rsidP="00B43F0E">
            <w:pPr>
              <w:spacing w:before="80" w:after="80" w:line="240" w:lineRule="exact"/>
            </w:pPr>
            <w:r w:rsidRPr="003A05DC">
              <w:t>strategic differentiating and individualizing</w:t>
            </w:r>
          </w:p>
          <w:p w:rsidR="00D03E64" w:rsidRPr="003A05DC" w:rsidRDefault="00D03E64" w:rsidP="00B43F0E">
            <w:pPr>
              <w:spacing w:before="80" w:after="80" w:line="240" w:lineRule="exact"/>
            </w:pPr>
            <w:r w:rsidRPr="003A05DC">
              <w:t xml:space="preserve">purposefully organized group learning </w:t>
            </w:r>
          </w:p>
          <w:p w:rsidR="00D03E64" w:rsidRPr="003A05DC" w:rsidRDefault="00D03E64" w:rsidP="00B43F0E">
            <w:pPr>
              <w:spacing w:before="80" w:after="80" w:line="240" w:lineRule="exact"/>
            </w:pPr>
            <w:r w:rsidRPr="003A05DC">
              <w:t>connections to prior knowledge across disciplines</w:t>
            </w:r>
          </w:p>
          <w:p w:rsidR="00D03E64" w:rsidRPr="003A05DC" w:rsidRDefault="00D03E64" w:rsidP="00B43F0E">
            <w:pPr>
              <w:spacing w:before="80" w:after="80" w:line="240" w:lineRule="exact"/>
            </w:pPr>
            <w:r w:rsidRPr="003A05DC">
              <w:t>additional support and alternative strategies</w:t>
            </w:r>
          </w:p>
          <w:p w:rsidR="00D03E64" w:rsidRPr="003A05DC" w:rsidRDefault="00D03E64" w:rsidP="00B43F0E">
            <w:pPr>
              <w:spacing w:before="80" w:after="80" w:line="240" w:lineRule="exact"/>
            </w:pPr>
            <w:r w:rsidRPr="003A05DC">
              <w:t>organizational, grouping, and tiered intervention strategies</w:t>
            </w:r>
          </w:p>
          <w:p w:rsidR="00D03E64" w:rsidRPr="003A05DC" w:rsidRDefault="00D03E64" w:rsidP="00B43F0E">
            <w:pPr>
              <w:spacing w:before="80" w:after="80" w:line="240" w:lineRule="exact"/>
            </w:pPr>
            <w:r w:rsidRPr="003A05DC">
              <w:t xml:space="preserve">learning that is personalized, relevant, and authentic </w:t>
            </w:r>
          </w:p>
          <w:p w:rsidR="00D03E64" w:rsidRPr="003A05DC" w:rsidRDefault="00D03E64" w:rsidP="00B43F0E">
            <w:pPr>
              <w:spacing w:before="80" w:after="80" w:line="240" w:lineRule="exact"/>
            </w:pPr>
            <w:r w:rsidRPr="003A05DC">
              <w:t>opportunities for students to determine learning outcomes, set goals and reflect upon the results</w:t>
            </w:r>
          </w:p>
          <w:p w:rsidR="00D03E64" w:rsidRPr="003A05DC" w:rsidRDefault="00D03E64" w:rsidP="00B43F0E">
            <w:pPr>
              <w:spacing w:before="80" w:after="80" w:line="240" w:lineRule="exact"/>
            </w:pPr>
            <w:r w:rsidRPr="003A05DC">
              <w:t>student discourse and reflection on learning</w:t>
            </w:r>
          </w:p>
          <w:p w:rsidR="00D03E64" w:rsidRPr="003A05DC" w:rsidRDefault="00D03E64" w:rsidP="00B43F0E">
            <w:pPr>
              <w:spacing w:before="80" w:after="80" w:line="240" w:lineRule="exact"/>
            </w:pPr>
            <w:r w:rsidRPr="003A05DC">
              <w:t>student choice, pursuit of personal interests, and opportunities for creative expression</w:t>
            </w:r>
          </w:p>
          <w:p w:rsidR="00D03E64" w:rsidRPr="003A05DC" w:rsidRDefault="00D03E64" w:rsidP="00B43F0E">
            <w:pPr>
              <w:spacing w:before="80" w:after="80" w:line="240" w:lineRule="exact"/>
            </w:pPr>
            <w:r w:rsidRPr="003A05DC">
              <w:t>opportunities to learn in and out of school</w:t>
            </w:r>
          </w:p>
          <w:p w:rsidR="00D03E64" w:rsidRPr="003A05DC" w:rsidRDefault="00D03E64" w:rsidP="00B43F0E">
            <w:pPr>
              <w:spacing w:before="80" w:after="80" w:line="240" w:lineRule="exact"/>
            </w:pPr>
            <w:r w:rsidRPr="003A05DC">
              <w:t>experiences that are cognitively challenging</w:t>
            </w:r>
          </w:p>
          <w:p w:rsidR="00D03E64" w:rsidRPr="003A05DC" w:rsidRDefault="00D03E64" w:rsidP="00B43F0E">
            <w:pPr>
              <w:spacing w:before="80" w:after="80" w:line="240" w:lineRule="exact"/>
            </w:pPr>
            <w:r w:rsidRPr="003A05DC">
              <w:t xml:space="preserve">a wide range of assessment strategies, including formative, summative assessments, and common assessments </w:t>
            </w:r>
          </w:p>
          <w:p w:rsidR="00D03E64" w:rsidRPr="003A05DC" w:rsidRDefault="00D03E64" w:rsidP="00B43F0E">
            <w:pPr>
              <w:spacing w:before="80" w:after="80" w:line="260" w:lineRule="exact"/>
            </w:pPr>
            <w:r w:rsidRPr="003A05DC">
              <w:t>specific and measurable criteria for success provided to learners prior to assessments</w:t>
            </w:r>
          </w:p>
        </w:tc>
        <w:tc>
          <w:tcPr>
            <w:tcW w:w="5130" w:type="dxa"/>
          </w:tcPr>
          <w:p w:rsidR="00D03E64" w:rsidRPr="003A05DC" w:rsidRDefault="00D03E64" w:rsidP="00B43F0E">
            <w:pPr>
              <w:spacing w:before="80" w:after="80" w:line="240" w:lineRule="exact"/>
            </w:pPr>
            <w:r w:rsidRPr="003A05DC">
              <w:t>regular and consistent checks for understanding</w:t>
            </w:r>
          </w:p>
          <w:p w:rsidR="00D03E64" w:rsidRPr="003A05DC" w:rsidRDefault="00D03E64" w:rsidP="00B43F0E">
            <w:pPr>
              <w:spacing w:before="80" w:after="80" w:line="240" w:lineRule="exact"/>
            </w:pPr>
            <w:r w:rsidRPr="003A05DC">
              <w:t>presentation of learning to authentic audiences</w:t>
            </w:r>
          </w:p>
          <w:p w:rsidR="00D03E64" w:rsidRPr="003A05DC" w:rsidRDefault="00D03E64" w:rsidP="00B43F0E">
            <w:pPr>
              <w:spacing w:before="80" w:after="80" w:line="240" w:lineRule="exact"/>
            </w:pPr>
            <w:r w:rsidRPr="003A05DC">
              <w:t xml:space="preserve">multiple and varied opportunities over time to demonstrate learning </w:t>
            </w:r>
          </w:p>
          <w:p w:rsidR="00D03E64" w:rsidRPr="003A05DC" w:rsidRDefault="00D03E64" w:rsidP="00B43F0E">
            <w:pPr>
              <w:spacing w:before="80" w:after="80" w:line="240" w:lineRule="exact"/>
            </w:pPr>
            <w:r w:rsidRPr="003A05DC">
              <w:t xml:space="preserve">consistent, systematic, specific, and timely corrective feedback </w:t>
            </w:r>
          </w:p>
          <w:p w:rsidR="00D03E64" w:rsidRPr="003A05DC" w:rsidRDefault="00D03E64" w:rsidP="00B43F0E">
            <w:pPr>
              <w:spacing w:before="80" w:after="80" w:line="240" w:lineRule="exact"/>
            </w:pPr>
            <w:r w:rsidRPr="003A05DC">
              <w:t>opportunities to revise and improve work</w:t>
            </w:r>
          </w:p>
          <w:p w:rsidR="00D03E64" w:rsidRPr="003A05DC" w:rsidRDefault="00D03E64" w:rsidP="00B43F0E">
            <w:pPr>
              <w:spacing w:before="80" w:after="80" w:line="240" w:lineRule="exact"/>
            </w:pPr>
            <w:r w:rsidRPr="003A05DC">
              <w:t>teacher feedback as well as peer feedback and self-reflection</w:t>
            </w:r>
          </w:p>
          <w:p w:rsidR="00D03E64" w:rsidRPr="003A05DC" w:rsidRDefault="00D03E64" w:rsidP="00B43F0E">
            <w:pPr>
              <w:spacing w:before="80" w:after="80" w:line="240" w:lineRule="exact"/>
            </w:pPr>
            <w:r w:rsidRPr="003A05DC">
              <w:t>separate grading/reporting and feedback for work habits and academic skills</w:t>
            </w:r>
          </w:p>
          <w:p w:rsidR="00D03E64" w:rsidRPr="003A05DC" w:rsidRDefault="00D03E64" w:rsidP="00B43F0E">
            <w:pPr>
              <w:spacing w:before="120" w:after="120" w:line="260" w:lineRule="exact"/>
            </w:pPr>
            <w:r w:rsidRPr="003A05DC">
              <w:t xml:space="preserve">technology to: </w:t>
            </w:r>
          </w:p>
          <w:p w:rsidR="00D03E64" w:rsidRPr="003A05DC" w:rsidRDefault="00D03E64" w:rsidP="00D03E64">
            <w:pPr>
              <w:numPr>
                <w:ilvl w:val="0"/>
                <w:numId w:val="3"/>
              </w:numPr>
              <w:spacing w:before="60" w:after="60" w:line="260" w:lineRule="exact"/>
            </w:pPr>
            <w:r w:rsidRPr="003A05DC">
              <w:t>access, support, document, and supplement learning</w:t>
            </w:r>
          </w:p>
          <w:p w:rsidR="00D03E64" w:rsidRPr="003A05DC" w:rsidRDefault="00D03E64" w:rsidP="00D03E64">
            <w:pPr>
              <w:numPr>
                <w:ilvl w:val="0"/>
                <w:numId w:val="3"/>
              </w:numPr>
              <w:spacing w:before="60" w:after="60" w:line="260" w:lineRule="exact"/>
            </w:pPr>
            <w:r w:rsidRPr="003A05DC">
              <w:t>broaden perspectives locally and globally</w:t>
            </w:r>
          </w:p>
          <w:p w:rsidR="00D03E64" w:rsidRPr="003A05DC" w:rsidRDefault="00D03E64" w:rsidP="00D03E64">
            <w:pPr>
              <w:numPr>
                <w:ilvl w:val="0"/>
                <w:numId w:val="3"/>
              </w:numPr>
              <w:spacing w:before="60" w:after="60" w:line="260" w:lineRule="exact"/>
            </w:pPr>
            <w:r w:rsidRPr="003A05DC">
              <w:t>personalize the pace of learning</w:t>
            </w:r>
          </w:p>
          <w:p w:rsidR="00D03E64" w:rsidRPr="003A05DC" w:rsidRDefault="00D03E64" w:rsidP="00D03E64">
            <w:pPr>
              <w:numPr>
                <w:ilvl w:val="0"/>
                <w:numId w:val="3"/>
              </w:numPr>
              <w:spacing w:before="60" w:after="60" w:line="260" w:lineRule="exact"/>
            </w:pPr>
            <w:r w:rsidRPr="003A05DC">
              <w:t>share work with an audience beyond the school community</w:t>
            </w:r>
          </w:p>
          <w:p w:rsidR="00D03E64" w:rsidRPr="003A05DC" w:rsidRDefault="00D03E64" w:rsidP="00D03E64">
            <w:pPr>
              <w:numPr>
                <w:ilvl w:val="0"/>
                <w:numId w:val="3"/>
              </w:numPr>
              <w:spacing w:before="60" w:after="60" w:line="260" w:lineRule="exact"/>
            </w:pPr>
            <w:r w:rsidRPr="003A05DC">
              <w:t>collaborate digitally to support learning</w:t>
            </w:r>
          </w:p>
          <w:p w:rsidR="00D03E64" w:rsidRPr="003A05DC" w:rsidRDefault="00D03E64" w:rsidP="00D03E64">
            <w:pPr>
              <w:numPr>
                <w:ilvl w:val="0"/>
                <w:numId w:val="3"/>
              </w:numPr>
              <w:spacing w:before="60" w:after="60" w:line="260" w:lineRule="exact"/>
            </w:pPr>
            <w:r w:rsidRPr="003A05DC">
              <w:t>engage in learning beyond the constraints of the school building and school day</w:t>
            </w:r>
          </w:p>
        </w:tc>
      </w:tr>
    </w:tbl>
    <w:p w:rsidR="00D03E64" w:rsidRDefault="00D03E64" w:rsidP="00794644">
      <w:pPr>
        <w:spacing w:after="0"/>
        <w:rPr>
          <w:rFonts w:ascii="Garamond" w:eastAsia="Times New Roman" w:hAnsi="Garamond"/>
          <w:b/>
          <w:sz w:val="22"/>
          <w:szCs w:val="22"/>
        </w:rPr>
      </w:pPr>
    </w:p>
    <w:sectPr w:rsidR="00D03E64" w:rsidSect="00D03E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8A5" w:rsidRDefault="006628A5" w:rsidP="00794644">
      <w:pPr>
        <w:spacing w:after="0"/>
      </w:pPr>
      <w:r>
        <w:separator/>
      </w:r>
    </w:p>
  </w:endnote>
  <w:endnote w:type="continuationSeparator" w:id="0">
    <w:p w:rsidR="006628A5" w:rsidRDefault="006628A5" w:rsidP="007946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44" w:rsidRDefault="007946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44" w:rsidRDefault="00794644" w:rsidP="00794644">
    <w:pPr>
      <w:pStyle w:val="Footer"/>
      <w:pBdr>
        <w:top w:val="single" w:sz="4" w:space="1" w:color="auto"/>
      </w:pBdr>
    </w:pPr>
    <w:bookmarkStart w:id="0" w:name="_GoBack"/>
    <w:r>
      <w:rPr>
        <w:rFonts w:ascii="Century Gothic" w:hAnsi="Century Gothic"/>
        <w:sz w:val="20"/>
        <w:szCs w:val="20"/>
      </w:rPr>
      <w:t>NEASC CPS</w:t>
    </w:r>
    <w:r>
      <w:rPr>
        <w:rFonts w:ascii="Century Gothic" w:hAnsi="Century Gothic"/>
        <w:sz w:val="20"/>
        <w:szCs w:val="20"/>
      </w:rPr>
      <w:tab/>
      <w:t>Student Work Set Cover Sheet</w:t>
    </w:r>
    <w:r>
      <w:rPr>
        <w:rFonts w:ascii="Century Gothic" w:hAnsi="Century Gothic"/>
        <w:sz w:val="20"/>
        <w:szCs w:val="20"/>
      </w:rPr>
      <w:tab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44" w:rsidRDefault="00794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8A5" w:rsidRDefault="006628A5" w:rsidP="00794644">
      <w:pPr>
        <w:spacing w:after="0"/>
      </w:pPr>
      <w:r>
        <w:separator/>
      </w:r>
    </w:p>
  </w:footnote>
  <w:footnote w:type="continuationSeparator" w:id="0">
    <w:p w:rsidR="006628A5" w:rsidRDefault="006628A5" w:rsidP="007946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44" w:rsidRDefault="00794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44" w:rsidRDefault="007946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44" w:rsidRDefault="00794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A7BA3"/>
    <w:multiLevelType w:val="hybridMultilevel"/>
    <w:tmpl w:val="F1223E4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D64195"/>
    <w:multiLevelType w:val="hybridMultilevel"/>
    <w:tmpl w:val="FDD44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26D4A"/>
    <w:multiLevelType w:val="hybridMultilevel"/>
    <w:tmpl w:val="1DA6E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64"/>
    <w:rsid w:val="006628A5"/>
    <w:rsid w:val="00701C73"/>
    <w:rsid w:val="00794644"/>
    <w:rsid w:val="00AF382C"/>
    <w:rsid w:val="00D03E64"/>
    <w:rsid w:val="00E5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BC2A3"/>
  <w15:chartTrackingRefBased/>
  <w15:docId w15:val="{F1350142-E9B3-4170-8CE9-79A9E289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03E64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464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94644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464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464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Wehrli, Bill</dc:creator>
  <cp:keywords/>
  <dc:description/>
  <cp:lastModifiedBy>Wehrli, Bill</cp:lastModifiedBy>
  <cp:revision>3</cp:revision>
  <dcterms:created xsi:type="dcterms:W3CDTF">2017-09-19T12:54:00Z</dcterms:created>
  <dcterms:modified xsi:type="dcterms:W3CDTF">2017-09-19T12:59:00Z</dcterms:modified>
</cp:coreProperties>
</file>